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bookmarkStart w:id="0" w:name="_GoBack"/>
      <w:bookmarkEnd w:id="0"/>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_________</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 xml:space="preserve">«Покупатель»), в лице директора филиала ПАО «РусГидро» – «Зейская ГЭС» Сухомесова Михаила Андреевича, действующего на основании доверенности № 9462 от 25.12.2024, с одной стороны, и </w:t>
      </w:r>
      <w:r>
        <w:rPr>
          <w:rFonts w:eastAsia="Times New Roman" w:cs="Times New Roman"/>
          <w:sz w:val="24"/>
          <w:szCs w:val="24"/>
          <w:lang w:eastAsia="ru-RU"/>
        </w:rPr>
        <w:t xml:space="preserve">_______________ </w:t>
      </w:r>
      <w:r>
        <w:rPr>
          <w:sz w:val="24"/>
          <w:szCs w:val="24"/>
        </w:rPr>
        <w:t xml:space="preserve">(далее – «Поставщик»), в лице </w:t>
      </w:r>
      <w:r>
        <w:rPr>
          <w:rFonts w:eastAsia="Times New Roman" w:cs="Times New Roman"/>
          <w:sz w:val="24"/>
          <w:szCs w:val="24"/>
          <w:lang w:eastAsia="ru-RU"/>
        </w:rPr>
        <w:t>___________,</w:t>
      </w:r>
      <w:r>
        <w:rPr>
          <w:sz w:val="24"/>
          <w:szCs w:val="24"/>
        </w:rPr>
        <w:t xml:space="preserve"> действующего на основании Устава,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sz w:val="24"/>
          <w:szCs w:val="24"/>
          <w:lang w:eastAsia="en-US"/>
        </w:rPr>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Normal"/>
        <w:ind w:firstLine="709"/>
        <w:jc w:val="both"/>
        <w:rPr>
          <w:sz w:val="24"/>
          <w:szCs w:val="24"/>
          <w:lang w:eastAsia="en-US"/>
        </w:rPr>
      </w:pPr>
      <w:r>
        <w:rPr>
          <w:sz w:val="24"/>
          <w:szCs w:val="24"/>
          <w:lang w:eastAsia="en-US"/>
        </w:rPr>
        <w:t xml:space="preserve">Состав разделов Проектной документации определяется Применимым правом. </w:t>
      </w:r>
    </w:p>
    <w:p>
      <w:pPr>
        <w:pStyle w:val="Normal"/>
        <w:ind w:firstLine="709"/>
        <w:jc w:val="both"/>
        <w:rPr>
          <w:b/>
          <w:sz w:val="24"/>
          <w:szCs w:val="24"/>
          <w:lang w:eastAsia="en-US"/>
        </w:rPr>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bCs/>
          <w:sz w:val="24"/>
          <w:szCs w:val="24"/>
          <w:lang w:eastAsia="en-US"/>
        </w:rPr>
        <w:t>текстильную продукцию</w:t>
      </w:r>
      <w:r>
        <w:rPr>
          <w:rFonts w:eastAsia="Calibri"/>
          <w:bCs/>
          <w:sz w:val="24"/>
          <w:szCs w:val="24"/>
          <w:lang w:eastAsia="en-US"/>
        </w:rPr>
        <w:t xml:space="preserve"> </w:t>
      </w:r>
      <w:r>
        <w:rPr>
          <w:bCs/>
          <w:sz w:val="24"/>
          <w:szCs w:val="24"/>
        </w:rPr>
        <w:t>(далее – «Товар») в соответствии со Спецификацией (Приложение №1 к Договору) и Техническими требованиями, а Покупатель обязуется принять Товар и уплатить Цену Договора.</w:t>
      </w:r>
    </w:p>
    <w:p>
      <w:pPr>
        <w:pStyle w:val="Normal"/>
        <w:numPr>
          <w:ilvl w:val="1"/>
          <w:numId w:val="2"/>
        </w:numPr>
        <w:shd w:val="clear" w:color="auto" w:fill="FFFFFF"/>
        <w:tabs>
          <w:tab w:val="clear" w:pos="708"/>
          <w:tab w:val="left" w:pos="0" w:leader="none"/>
          <w:tab w:val="left" w:pos="1134" w:leader="none"/>
          <w:tab w:val="left" w:pos="1566"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 – «Зейская ГЭС».</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Место поставки Товара: 676244, Амурская область, г.Зея, склад №2 филиала ПАО «РусГидро» – «Зейская ГЭС» (далее – «Место поставки»).</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 xml:space="preserve">Окончание – </w:t>
      </w:r>
      <w:r>
        <w:rPr>
          <w:bCs/>
          <w:sz w:val="24"/>
          <w:szCs w:val="24"/>
        </w:rPr>
        <w:t xml:space="preserve">в течение 60 календарных дней. </w:t>
      </w:r>
    </w:p>
    <w:p>
      <w:pPr>
        <w:pStyle w:val="Normal"/>
        <w:shd w:val="clear" w:color="auto" w:fill="FFFFFF"/>
        <w:tabs>
          <w:tab w:val="clear" w:pos="708"/>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w:t>
      </w:r>
      <w:r>
        <w:rPr>
          <w:sz w:val="24"/>
          <w:szCs w:val="24"/>
        </w:rPr>
        <w:t>составляет (</w:t>
      </w:r>
      <w:r>
        <w:rPr>
          <w:rFonts w:eastAsia="Times New Roman" w:cs="Times New Roman"/>
          <w:sz w:val="24"/>
          <w:szCs w:val="24"/>
          <w:lang w:eastAsia="ru-RU"/>
        </w:rPr>
        <w:t>__________</w:t>
      </w:r>
      <w:r>
        <w:rPr>
          <w:sz w:val="24"/>
          <w:szCs w:val="24"/>
        </w:rPr>
        <w:t>) рублей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10"/>
        </w:numPr>
        <w:shd w:val="clear" w:color="auto" w:fill="FFFFFF"/>
        <w:tabs>
          <w:tab w:val="clear" w:pos="708"/>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учёта НДС, кроме того НДС по ставке, установленной статьёй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 и суммой ранее уплаченного авансового платежа, выплачиваются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szCs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8"/>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tabs>
          <w:tab w:val="clear" w:pos="708"/>
          <w:tab w:val="left" w:pos="1134" w:leader="none"/>
        </w:tabs>
        <w:ind w:firstLine="709"/>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 (одном)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3(трёх) экз.;</w:t>
      </w:r>
    </w:p>
    <w:p>
      <w:pPr>
        <w:pStyle w:val="Normal"/>
        <w:numPr>
          <w:ilvl w:val="0"/>
          <w:numId w:val="3"/>
        </w:numPr>
        <w:shd w:val="clear" w:color="auto" w:fill="FFFFFF"/>
        <w:tabs>
          <w:tab w:val="clear" w:pos="708"/>
          <w:tab w:val="left" w:pos="1276" w:leader="none"/>
        </w:tabs>
        <w:ind w:left="0" w:firstLine="709"/>
        <w:jc w:val="both"/>
        <w:rPr>
          <w:sz w:val="24"/>
          <w:szCs w:val="24"/>
        </w:rPr>
      </w:pPr>
      <w:r>
        <w:rPr>
          <w:sz w:val="24"/>
          <w:szCs w:val="24"/>
        </w:rPr>
        <w:t>накладная ТОРГ-12 в 2 (двух) экз.</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стоимость Товара.</w:t>
      </w:r>
    </w:p>
    <w:p>
      <w:pPr>
        <w:pStyle w:val="ListParagraph"/>
        <w:widowContro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w:t>
      </w:r>
      <w:bookmarkEnd w:id="2"/>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15 (пятнадцати)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8"/>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shd w:val="clear" w:color="auto" w:fill="FFFFFF"/>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
        </w:numPr>
        <w:shd w:val="clear" w:color="auto" w:fill="FFFFFF"/>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ListParagraph"/>
        <w:numPr>
          <w:ilvl w:val="1"/>
          <w:numId w:val="2"/>
        </w:numPr>
        <w:tabs>
          <w:tab w:val="clear" w:pos="708"/>
          <w:tab w:val="left" w:pos="1000"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ListParagraph"/>
        <w:numPr>
          <w:ilvl w:val="0"/>
          <w:numId w:val="2"/>
        </w:numPr>
        <w:shd w:val="clear" w:color="auto" w:fill="FFFFFF"/>
        <w:tabs>
          <w:tab w:val="clear" w:pos="708"/>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12</w:t>
      </w:r>
      <w:r>
        <w:rPr>
          <w:sz w:val="24"/>
          <w:szCs w:val="24"/>
          <w:highlight w:val="lightGray"/>
        </w:rPr>
        <w:t xml:space="preserve"> </w:t>
      </w:r>
      <w:r>
        <w:rPr>
          <w:sz w:val="24"/>
          <w:szCs w:val="24"/>
        </w:rPr>
        <w:t xml:space="preserve">(двенадцать) месяцев и начинает течь с даты подписания Сторонами накладной ТОРГ-12. 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6"/>
      <w:bookmarkStart w:id="5" w:name="OLE_LINK5"/>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 xml:space="preserve">В случае </w:t>
      </w:r>
      <w:r>
        <w:rPr>
          <w:sz w:val="24"/>
          <w:szCs w:val="24"/>
        </w:rPr>
        <w:t xml:space="preserve">нарушения Поставщиком обязательств по поставке Товара (нарушение срока поставки, недопоставка), Покупатель вправе требовать уплаты Поставщиком </w:t>
      </w:r>
      <w:r>
        <w:rPr>
          <w:bCs/>
          <w:sz w:val="24"/>
          <w:szCs w:val="24"/>
        </w:rPr>
        <w:t>неустойки</w:t>
      </w:r>
      <w:r>
        <w:rPr>
          <w:sz w:val="24"/>
          <w:szCs w:val="24"/>
        </w:rPr>
        <w:t xml:space="preserve"> в размере 0,1 (ноль целых и одна десятая) процента от Цены Договора за каждый день просрочки.</w:t>
      </w:r>
    </w:p>
    <w:p>
      <w:pPr>
        <w:pStyle w:val="Normal"/>
        <w:widowControl/>
        <w:numPr>
          <w:ilvl w:val="1"/>
          <w:numId w:val="2"/>
        </w:numPr>
        <w:tabs>
          <w:tab w:val="clear" w:pos="708"/>
          <w:tab w:val="left" w:pos="1134" w:leader="none"/>
        </w:tabs>
        <w:ind w:left="0" w:firstLine="709"/>
        <w:jc w:val="both"/>
        <w:rPr>
          <w:bCs/>
          <w:sz w:val="24"/>
          <w:szCs w:val="24"/>
        </w:rPr>
      </w:pPr>
      <w:r>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bCs/>
          <w:sz w:val="24"/>
          <w:szCs w:val="24"/>
        </w:rPr>
        <w:t xml:space="preserve"> </w:t>
      </w:r>
      <w:r>
        <w:rPr>
          <w:bCs/>
          <w:sz w:val="24"/>
          <w:szCs w:val="24"/>
        </w:rPr>
        <w:t xml:space="preserve">неустойки в </w:t>
      </w:r>
      <w:r>
        <w:rPr>
          <w:sz w:val="24"/>
          <w:szCs w:val="24"/>
        </w:rPr>
        <w:t>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Покупателем сроков оплаты поставленного товара,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ListParagraph"/>
        <w:widowControl/>
        <w:numPr>
          <w:ilvl w:val="1"/>
          <w:numId w:val="2"/>
        </w:numPr>
        <w:shd w:val="clear" w:color="auto" w:fill="FFFFFF"/>
        <w:tabs>
          <w:tab w:val="clear" w:pos="708"/>
          <w:tab w:val="left" w:pos="709"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8"/>
          <w:tab w:val="left" w:pos="709" w:leader="none"/>
        </w:tabs>
        <w:ind w:left="0" w:firstLine="709"/>
        <w:jc w:val="both"/>
        <w:rPr>
          <w:bCs/>
          <w:sz w:val="24"/>
          <w:szCs w:val="24"/>
        </w:rPr>
      </w:pPr>
      <w:r>
        <w:rPr>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shd w:val="clear" w:color="auto" w:fill="FFFFFF"/>
        <w:tabs>
          <w:tab w:val="clear" w:pos="708"/>
          <w:tab w:val="left" w:pos="1134" w:leader="none"/>
        </w:tabs>
        <w:ind w:left="1851"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8"/>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Амурской области.</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Каналы связи Линия доверия Группы РусГидро: </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8"/>
          <w:tab w:val="left" w:pos="426" w:leader="none"/>
        </w:tabs>
        <w:spacing w:lineRule="auto" w:line="259"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12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8"/>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s>
        <w:snapToGrid w:val="false"/>
        <w:ind w:left="0" w:firstLine="709"/>
        <w:jc w:val="both"/>
        <w:rPr>
          <w:sz w:val="24"/>
          <w:szCs w:val="24"/>
          <w:lang w:eastAsia="en-US"/>
        </w:rPr>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bCs/>
          <w:sz w:val="24"/>
          <w:szCs w:val="24"/>
        </w:rPr>
        <w:t>.</w:t>
      </w:r>
      <w:r>
        <w:rPr>
          <w:sz w:val="24"/>
          <w:szCs w:val="24"/>
        </w:rPr>
        <w:t xml:space="preserve">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составлен в 2 (двух) оригинальных экземплярах, имеющих равную юридическую силу, по 1 (одному) для каждой из Сторон.</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8"/>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284" w:leader="none"/>
        </w:tabs>
        <w:spacing w:lineRule="auto" w:line="259" w:before="0" w:after="0"/>
        <w:ind w:left="360" w:hanging="0"/>
        <w:contextualSpacing/>
        <w:jc w:val="center"/>
        <w:rPr>
          <w:b/>
          <w:bCs/>
          <w:sz w:val="24"/>
          <w:szCs w:val="24"/>
        </w:rPr>
      </w:pPr>
      <w:r>
        <w:rPr>
          <w:b/>
          <w:bCs/>
          <w:sz w:val="24"/>
          <w:szCs w:val="24"/>
        </w:rPr>
      </w:r>
    </w:p>
    <w:p>
      <w:pPr>
        <w:pStyle w:val="Normal"/>
        <w:ind w:firstLine="709"/>
        <w:jc w:val="both"/>
        <w:rPr>
          <w:sz w:val="24"/>
          <w:szCs w:val="24"/>
        </w:rPr>
      </w:pPr>
      <w:r>
        <w:rPr>
          <w:sz w:val="24"/>
          <w:szCs w:val="24"/>
        </w:rPr>
        <w:t>Приложение №1 — Спецификация</w:t>
      </w:r>
    </w:p>
    <w:p>
      <w:pPr>
        <w:pStyle w:val="Normal"/>
        <w:ind w:firstLine="709"/>
        <w:jc w:val="both"/>
        <w:rPr>
          <w:sz w:val="24"/>
          <w:szCs w:val="24"/>
        </w:rPr>
      </w:pPr>
      <w:r>
        <w:rPr>
          <w:sz w:val="24"/>
          <w:szCs w:val="24"/>
        </w:rPr>
        <w:t>Приложение №2 — Технические требования</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360" w:hanging="0"/>
        <w:rPr>
          <w:b/>
          <w:bCs/>
          <w:sz w:val="24"/>
          <w:szCs w:val="24"/>
        </w:rPr>
      </w:pPr>
      <w:r>
        <w:rPr>
          <w:b/>
          <w:bCs/>
          <w:sz w:val="24"/>
          <w:szCs w:val="24"/>
        </w:rPr>
      </w:r>
    </w:p>
    <w:tbl>
      <w:tblPr>
        <w:tblW w:w="9356"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784"/>
        <w:gridCol w:w="4571"/>
      </w:tblGrid>
      <w:tr>
        <w:trPr/>
        <w:tc>
          <w:tcPr>
            <w:tcW w:w="4784" w:type="dxa"/>
            <w:tcBorders/>
          </w:tcPr>
          <w:p>
            <w:pPr>
              <w:pStyle w:val="Normal"/>
              <w:widowControl w:val="false"/>
              <w:rPr>
                <w:sz w:val="24"/>
                <w:szCs w:val="24"/>
              </w:rPr>
            </w:pPr>
            <w:r>
              <w:rPr>
                <w:sz w:val="24"/>
                <w:szCs w:val="24"/>
              </w:rPr>
              <w:t>ПОКУПАТЕЛЬ:</w:t>
            </w:r>
          </w:p>
        </w:tc>
        <w:tc>
          <w:tcPr>
            <w:tcW w:w="4571" w:type="dxa"/>
            <w:tcBorders/>
          </w:tcPr>
          <w:p>
            <w:pPr>
              <w:pStyle w:val="Normal"/>
              <w:widowControl w:val="false"/>
              <w:rPr>
                <w:sz w:val="24"/>
                <w:szCs w:val="24"/>
              </w:rPr>
            </w:pPr>
            <w:r>
              <w:rPr>
                <w:sz w:val="24"/>
                <w:szCs w:val="24"/>
              </w:rPr>
              <w:t>ПОСТАВЩИК:</w:t>
            </w:r>
          </w:p>
        </w:tc>
      </w:tr>
      <w:tr>
        <w:trPr/>
        <w:tc>
          <w:tcPr>
            <w:tcW w:w="4784"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Место нахождения:</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Почтовый адрес:</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000000"/>
                <w:kern w:val="0"/>
                <w:sz w:val="24"/>
                <w:szCs w:val="24"/>
                <w:lang w:val="ru-RU" w:eastAsia="ru-RU" w:bidi="ar-SA"/>
              </w:rPr>
            </w:pPr>
            <w:r>
              <w:rPr>
                <w:rFonts w:eastAsia="Times New Roman" w:cs="Times New Roman"/>
                <w:color w:val="000000"/>
                <w:kern w:val="0"/>
                <w:sz w:val="24"/>
                <w:szCs w:val="24"/>
                <w:lang w:val="ru-RU" w:eastAsia="ru-RU" w:bidi="ar-SA"/>
              </w:rPr>
              <w:t>Место нахождения филиала:</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Филиал ПАО «РусГидро» - «Зейская ГЭС»</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ОГРН 1042401810494,</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ИНН 2460066195 / КПП 997650001</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р/с 40702810503170007429</w:t>
            </w:r>
          </w:p>
          <w:p>
            <w:pPr>
              <w:pStyle w:val="Normal"/>
              <w:widowControl w:val="false"/>
              <w:rPr>
                <w:sz w:val="24"/>
                <w:szCs w:val="24"/>
              </w:rPr>
            </w:pPr>
            <w:r>
              <w:rPr>
                <w:rFonts w:eastAsia="Times New Roman" w:cs="Times New Roman"/>
                <w:color w:val="auto"/>
                <w:kern w:val="0"/>
                <w:sz w:val="24"/>
                <w:szCs w:val="24"/>
                <w:lang w:val="ru-RU" w:eastAsia="ru-RU" w:bidi="ar-SA"/>
              </w:rPr>
              <w:t>Банк: Дальневосточный б</w:t>
            </w:r>
            <w:r>
              <w:rPr>
                <w:sz w:val="24"/>
                <w:szCs w:val="24"/>
              </w:rPr>
              <w:t>анк ПАО «Сбербанк России» г. Хабаровск</w:t>
            </w:r>
          </w:p>
          <w:p>
            <w:pPr>
              <w:pStyle w:val="Normal"/>
              <w:widowControl w:val="false"/>
              <w:rPr>
                <w:sz w:val="24"/>
                <w:szCs w:val="24"/>
              </w:rPr>
            </w:pPr>
            <w:r>
              <w:rPr>
                <w:sz w:val="24"/>
                <w:szCs w:val="24"/>
              </w:rPr>
              <w:t>кор. счет № 30101810600000000608 в ГРКЦ ГУ Банка России по Хабаровскому краю,</w:t>
            </w:r>
          </w:p>
          <w:p>
            <w:pPr>
              <w:pStyle w:val="Normal"/>
              <w:widowControl w:val="false"/>
              <w:rPr>
                <w:sz w:val="24"/>
                <w:szCs w:val="24"/>
              </w:rPr>
            </w:pPr>
            <w:r>
              <w:rPr>
                <w:sz w:val="24"/>
                <w:szCs w:val="24"/>
              </w:rPr>
              <w:t>БИК 040813608</w:t>
            </w:r>
          </w:p>
          <w:p>
            <w:pPr>
              <w:pStyle w:val="Normal"/>
              <w:widowControl w:val="false"/>
              <w:rPr>
                <w:sz w:val="24"/>
                <w:szCs w:val="24"/>
              </w:rPr>
            </w:pPr>
            <w:r>
              <w:rPr>
                <w:sz w:val="24"/>
                <w:szCs w:val="24"/>
              </w:rPr>
              <w:t>ОКПО 9799539</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571" w:type="dxa"/>
            <w:tcBorders/>
          </w:tcPr>
          <w:p>
            <w:pPr>
              <w:pStyle w:val="Normal"/>
              <w:widowControl w:val="false"/>
              <w:rPr/>
            </w:pPr>
            <w:r>
              <w:rPr/>
            </w:r>
          </w:p>
        </w:tc>
      </w:tr>
      <w:tr>
        <w:trPr/>
        <w:tc>
          <w:tcPr>
            <w:tcW w:w="4784" w:type="dxa"/>
            <w:tcBorders/>
          </w:tcPr>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ПАО «РусГидро» – «Зейская ГЭС»</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___________________ </w:t>
            </w:r>
            <w:r>
              <w:rPr>
                <w:sz w:val="24"/>
                <w:szCs w:val="24"/>
                <w:lang w:val="en-US"/>
              </w:rPr>
              <w:t>М.А. Сухомесов</w:t>
            </w:r>
          </w:p>
        </w:tc>
        <w:tc>
          <w:tcPr>
            <w:tcW w:w="4571" w:type="dxa"/>
            <w:tcBorders/>
          </w:tcPr>
          <w:p>
            <w:pPr>
              <w:pStyle w:val="Normal"/>
              <w:widowControl w:val="false"/>
              <w:rPr/>
            </w:pPr>
            <w:r>
              <w:rPr/>
            </w:r>
          </w:p>
        </w:tc>
      </w:tr>
    </w:tbl>
    <w:p>
      <w:pPr>
        <w:sectPr>
          <w:headerReference w:type="default" r:id="rId5"/>
          <w:footerReference w:type="default" r:id="rId6"/>
          <w:type w:val="nextPage"/>
          <w:pgSz w:w="11906" w:h="16838"/>
          <w:pgMar w:left="1418" w:right="851" w:gutter="0" w:header="567" w:top="1134" w:footer="709" w:bottom="1134"/>
          <w:pgNumType w:fmt="decimal"/>
          <w:formProt w:val="false"/>
          <w:textDirection w:val="lrTb"/>
          <w:docGrid w:type="default" w:linePitch="360" w:charSpace="16384"/>
        </w:sectPr>
      </w:pPr>
    </w:p>
    <w:p>
      <w:pPr>
        <w:pStyle w:val="Normal"/>
        <w:tabs>
          <w:tab w:val="clear" w:pos="708"/>
          <w:tab w:val="left" w:pos="6521" w:leader="none"/>
        </w:tabs>
        <w:ind w:right="96" w:hanging="567"/>
        <w:jc w:val="right"/>
        <w:rPr>
          <w:szCs w:val="28"/>
        </w:rPr>
      </w:pPr>
      <w:r>
        <w:rPr>
          <w:sz w:val="24"/>
          <w:szCs w:val="28"/>
        </w:rPr>
        <w:t>Приложение №1</w:t>
      </w:r>
    </w:p>
    <w:p>
      <w:pPr>
        <w:pStyle w:val="Normal"/>
        <w:jc w:val="right"/>
        <w:rPr>
          <w:sz w:val="24"/>
          <w:szCs w:val="28"/>
        </w:rPr>
      </w:pPr>
      <w:r>
        <w:rPr>
          <w:sz w:val="24"/>
          <w:szCs w:val="28"/>
        </w:rPr>
        <w:t xml:space="preserve">К договору поставки </w:t>
      </w:r>
    </w:p>
    <w:p>
      <w:pPr>
        <w:pStyle w:val="Normal"/>
        <w:ind w:left="4956" w:firstLine="708"/>
        <w:jc w:val="right"/>
        <w:rPr>
          <w:sz w:val="24"/>
          <w:szCs w:val="28"/>
        </w:rPr>
      </w:pPr>
      <w:r>
        <w:rPr>
          <w:sz w:val="24"/>
          <w:szCs w:val="28"/>
        </w:rPr>
      </w:r>
    </w:p>
    <w:p>
      <w:pPr>
        <w:pStyle w:val="Normal"/>
        <w:ind w:left="4956" w:firstLine="708"/>
        <w:jc w:val="right"/>
        <w:rPr>
          <w:sz w:val="24"/>
          <w:szCs w:val="28"/>
        </w:rPr>
      </w:pPr>
      <w:r>
        <w:rPr>
          <w:sz w:val="24"/>
          <w:szCs w:val="28"/>
        </w:rPr>
        <w:t>От «___»__________2026</w:t>
      </w:r>
      <w:r>
        <w:rPr>
          <w:sz w:val="24"/>
          <w:szCs w:val="28"/>
          <w:lang w:val="en-US"/>
        </w:rPr>
        <w:t xml:space="preserve"> </w:t>
      </w:r>
      <w:r>
        <w:rPr>
          <w:sz w:val="24"/>
          <w:szCs w:val="28"/>
        </w:rPr>
        <w:t>г.</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center"/>
        <w:rPr>
          <w:sz w:val="24"/>
          <w:szCs w:val="28"/>
        </w:rPr>
      </w:pPr>
      <w:r>
        <w:rPr>
          <w:sz w:val="24"/>
          <w:szCs w:val="28"/>
        </w:rPr>
        <w:t>СПЕЦИФИКАЦИЯ</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right"/>
        <w:rPr>
          <w:sz w:val="24"/>
          <w:szCs w:val="28"/>
        </w:rPr>
      </w:pPr>
      <w:r>
        <w:rPr>
          <w:sz w:val="24"/>
          <w:szCs w:val="28"/>
        </w:rPr>
      </w:r>
    </w:p>
    <w:tbl>
      <w:tblPr>
        <w:tblW w:w="13035"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556"/>
        <w:gridCol w:w="1250"/>
        <w:gridCol w:w="2213"/>
        <w:gridCol w:w="1695"/>
        <w:gridCol w:w="1284"/>
        <w:gridCol w:w="1388"/>
        <w:gridCol w:w="1710"/>
        <w:gridCol w:w="1312"/>
        <w:gridCol w:w="1625"/>
      </w:tblGrid>
      <w:tr>
        <w:trPr>
          <w:trHeight w:val="630" w:hRule="atLeast"/>
        </w:trPr>
        <w:tc>
          <w:tcPr>
            <w:tcW w:w="55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w:t>
            </w:r>
          </w:p>
        </w:tc>
        <w:tc>
          <w:tcPr>
            <w:tcW w:w="12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Наименование</w:t>
            </w:r>
          </w:p>
        </w:tc>
        <w:tc>
          <w:tcPr>
            <w:tcW w:w="22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Технические характеристики</w:t>
            </w:r>
          </w:p>
        </w:tc>
        <w:tc>
          <w:tcPr>
            <w:tcW w:w="1695"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Кол-во, шт.</w:t>
            </w:r>
          </w:p>
        </w:tc>
        <w:tc>
          <w:tcPr>
            <w:tcW w:w="128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Страна происхождения</w:t>
            </w:r>
          </w:p>
        </w:tc>
        <w:tc>
          <w:tcPr>
            <w:tcW w:w="1388"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Цена, руб./шт.</w:t>
            </w:r>
          </w:p>
        </w:tc>
        <w:tc>
          <w:tcPr>
            <w:tcW w:w="171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Стоимость, руб. без НДС</w:t>
            </w:r>
          </w:p>
        </w:tc>
        <w:tc>
          <w:tcPr>
            <w:tcW w:w="131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НДС</w:t>
            </w:r>
          </w:p>
        </w:tc>
        <w:tc>
          <w:tcPr>
            <w:tcW w:w="162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Итого с НДС</w:t>
            </w:r>
          </w:p>
        </w:tc>
      </w:tr>
      <w:tr>
        <w:trPr>
          <w:trHeight w:val="315" w:hRule="atLeast"/>
        </w:trPr>
        <w:tc>
          <w:tcPr>
            <w:tcW w:w="55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2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22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95" w:type="dxa"/>
            <w:vMerge w:val="continue"/>
            <w:tcBorders>
              <w:top w:val="single" w:sz="4" w:space="0" w:color="000000"/>
              <w:left w:val="single" w:sz="4" w:space="0" w:color="000000"/>
              <w:bottom w:val="single" w:sz="4" w:space="0" w:color="000000"/>
            </w:tcBorders>
            <w:vAlign w:val="center"/>
          </w:tcPr>
          <w:p>
            <w:pPr>
              <w:pStyle w:val="Normal"/>
              <w:widowControl w:val="false"/>
              <w:rPr>
                <w:color w:val="000000"/>
                <w:sz w:val="24"/>
                <w:szCs w:val="24"/>
              </w:rPr>
            </w:pPr>
            <w:r>
              <w:rPr>
                <w:color w:val="000000"/>
                <w:sz w:val="24"/>
                <w:szCs w:val="24"/>
              </w:rPr>
            </w:r>
          </w:p>
        </w:tc>
        <w:tc>
          <w:tcPr>
            <w:tcW w:w="128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без НДС</w:t>
            </w:r>
          </w:p>
        </w:tc>
        <w:tc>
          <w:tcPr>
            <w:tcW w:w="17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3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r>
      <w:tr>
        <w:trPr>
          <w:trHeight w:val="63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1</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2</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3</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55"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4</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5</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bl>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t>1. Общая сумма Спецификации составляет:  (   ) рублей 00 копеек.</w:t>
      </w:r>
    </w:p>
    <w:p>
      <w:pPr>
        <w:pStyle w:val="Normal"/>
        <w:rPr>
          <w:sz w:val="24"/>
          <w:szCs w:val="24"/>
        </w:rPr>
      </w:pPr>
      <w:r>
        <w:rPr>
          <w:sz w:val="24"/>
          <w:szCs w:val="24"/>
        </w:rPr>
        <w:t>2. Подписи сторон:</w:t>
      </w:r>
    </w:p>
    <w:p>
      <w:pPr>
        <w:pStyle w:val="Normal"/>
        <w:rPr>
          <w:sz w:val="24"/>
          <w:szCs w:val="24"/>
        </w:rPr>
      </w:pPr>
      <w:r>
        <w:rPr>
          <w:sz w:val="24"/>
          <w:szCs w:val="24"/>
        </w:rPr>
      </w:r>
    </w:p>
    <w:tbl>
      <w:tblPr>
        <w:tblW w:w="12015" w:type="dxa"/>
        <w:jc w:val="left"/>
        <w:tblInd w:w="850" w:type="dxa"/>
        <w:tblLayout w:type="fixed"/>
        <w:tblCellMar>
          <w:top w:w="0" w:type="dxa"/>
          <w:left w:w="108" w:type="dxa"/>
          <w:bottom w:w="0" w:type="dxa"/>
          <w:right w:w="108" w:type="dxa"/>
        </w:tblCellMar>
        <w:tblLook w:val="04a0" w:noHBand="0" w:noVBand="1" w:firstColumn="1" w:lastRow="0" w:lastColumn="0" w:firstRow="1"/>
      </w:tblPr>
      <w:tblGrid>
        <w:gridCol w:w="7020"/>
        <w:gridCol w:w="4994"/>
      </w:tblGrid>
      <w:tr>
        <w:trPr>
          <w:trHeight w:val="487" w:hRule="atLeast"/>
        </w:trPr>
        <w:tc>
          <w:tcPr>
            <w:tcW w:w="7020" w:type="dxa"/>
            <w:tcBorders/>
          </w:tcPr>
          <w:p>
            <w:pPr>
              <w:pStyle w:val="Normal"/>
              <w:widowControl w:val="false"/>
              <w:tabs>
                <w:tab w:val="clear" w:pos="708"/>
                <w:tab w:val="left" w:pos="4155" w:leader="none"/>
              </w:tabs>
              <w:rPr>
                <w:sz w:val="24"/>
                <w:szCs w:val="24"/>
              </w:rPr>
            </w:pPr>
            <w:r>
              <w:rPr>
                <w:sz w:val="24"/>
                <w:szCs w:val="24"/>
              </w:rPr>
            </w:r>
          </w:p>
        </w:tc>
        <w:tc>
          <w:tcPr>
            <w:tcW w:w="4994" w:type="dxa"/>
            <w:tcBorders/>
          </w:tcPr>
          <w:p>
            <w:pPr>
              <w:pStyle w:val="Normal"/>
              <w:widowControl w:val="false"/>
              <w:rPr>
                <w:sz w:val="24"/>
                <w:szCs w:val="24"/>
              </w:rPr>
            </w:pPr>
            <w:r>
              <w:rPr>
                <w:sz w:val="24"/>
                <w:szCs w:val="24"/>
              </w:rPr>
            </w:r>
          </w:p>
          <w:p>
            <w:pPr>
              <w:pStyle w:val="Normal"/>
              <w:widowControl w:val="false"/>
              <w:tabs>
                <w:tab w:val="clear" w:pos="708"/>
                <w:tab w:val="left" w:pos="4530" w:leader="none"/>
              </w:tabs>
              <w:ind w:right="849" w:hanging="0"/>
              <w:jc w:val="right"/>
              <w:rPr/>
            </w:pPr>
            <w:r>
              <w:rPr>
                <w:sz w:val="24"/>
                <w:szCs w:val="24"/>
              </w:rPr>
              <w:t>Директор филиала</w:t>
            </w:r>
          </w:p>
          <w:p>
            <w:pPr>
              <w:pStyle w:val="Normal"/>
              <w:widowControl w:val="false"/>
              <w:tabs>
                <w:tab w:val="clear" w:pos="708"/>
                <w:tab w:val="left" w:pos="4530" w:leader="none"/>
              </w:tabs>
              <w:ind w:right="849" w:hanging="0"/>
              <w:jc w:val="right"/>
              <w:rPr/>
            </w:pPr>
            <w:r>
              <w:rPr>
                <w:sz w:val="24"/>
                <w:szCs w:val="24"/>
              </w:rPr>
              <w:t>ПАО «РусГидро» - «Зейская ГЭС</w:t>
            </w:r>
          </w:p>
          <w:p>
            <w:pPr>
              <w:pStyle w:val="Normal"/>
              <w:widowControl w:val="false"/>
              <w:tabs>
                <w:tab w:val="clear" w:pos="708"/>
                <w:tab w:val="left" w:pos="4530" w:leader="none"/>
              </w:tabs>
              <w:ind w:right="849" w:hanging="0"/>
              <w:jc w:val="right"/>
              <w:rPr/>
            </w:pPr>
            <w:r>
              <w:rPr>
                <w:sz w:val="24"/>
                <w:szCs w:val="24"/>
              </w:rPr>
              <w:t>_____________М.</w:t>
            </w:r>
            <w:r>
              <w:rPr>
                <w:sz w:val="24"/>
                <w:szCs w:val="24"/>
                <w:lang w:val="en-US"/>
              </w:rPr>
              <w:t>А. Сухомесов</w:t>
            </w:r>
          </w:p>
        </w:tc>
      </w:tr>
    </w:tbl>
    <w:p>
      <w:pPr>
        <w:pStyle w:val="Normal"/>
        <w:tabs>
          <w:tab w:val="clear" w:pos="708"/>
          <w:tab w:val="left" w:pos="6521" w:leader="none"/>
        </w:tabs>
        <w:rPr>
          <w:szCs w:val="28"/>
        </w:rPr>
      </w:pPr>
      <w:r>
        <w:rPr/>
      </w:r>
    </w:p>
    <w:sectPr>
      <w:headerReference w:type="default" r:id="rId7"/>
      <w:headerReference w:type="first" r:id="rId8"/>
      <w:footerReference w:type="default" r:id="rId9"/>
      <w:footerReference w:type="first" r:id="rId10"/>
      <w:type w:val="nextPage"/>
      <w:pgSz w:orient="landscape" w:w="16838" w:h="11906"/>
      <w:pgMar w:left="2268" w:right="1134" w:gutter="0" w:header="567" w:top="1701" w:footer="709" w:bottom="766"/>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16</w:t>
    </w:r>
    <w:r>
      <w:rPr>
        <w:sz w:val="24"/>
        <w:szCs w:val="24"/>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941070626"/>
    </w:sdtPr>
    <w:sdtContent>
      <w:p>
        <w:pPr>
          <w:pStyle w:val="Header"/>
          <w:jc w:val="center"/>
          <w:rPr/>
        </w:pPr>
        <w:r>
          <w:rPr/>
          <w:fldChar w:fldCharType="begin"/>
        </w:r>
        <w:r>
          <w:rPr/>
          <w:instrText xml:space="preserve"> PAGE </w:instrText>
        </w:r>
        <w:r>
          <w:rPr/>
          <w:fldChar w:fldCharType="separate"/>
        </w:r>
        <w:r>
          <w:rPr/>
          <w:t>17</w:t>
        </w:r>
        <w:r>
          <w:rPr/>
          <w:fldChar w:fldCharType="end"/>
        </w:r>
      </w:p>
      <w:p>
        <w:pPr>
          <w:pStyle w:val="Head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2"/>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Название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1"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Title">
    <w:name w:val="Title"/>
    <w:basedOn w:val="Normal"/>
    <w:link w:val="Style7"/>
    <w:qFormat/>
    <w:rsid w:val="00a264b0"/>
    <w:pPr>
      <w:jc w:val="center"/>
    </w:pPr>
    <w:rPr>
      <w:b/>
      <w:bCs/>
      <w:sz w:val="24"/>
      <w:szCs w:val="24"/>
    </w:rPr>
  </w:style>
  <w:style w:type="paragraph" w:styleId="Style20"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1" w:customStyle="1">
    <w:name w:val="Колонтитул"/>
    <w:basedOn w:val="Normal"/>
    <w:qFormat/>
    <w:pPr/>
    <w:rPr/>
  </w:style>
  <w:style w:type="paragraph" w:styleId="Footer">
    <w:name w:val="Footer"/>
    <w:basedOn w:val="Normal"/>
    <w:link w:val="Style16"/>
    <w:uiPriority w:val="99"/>
    <w:rsid w:val="008b02a1"/>
    <w:pPr>
      <w:tabs>
        <w:tab w:val="clear" w:pos="708"/>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2"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3" w:customStyle="1">
    <w:name w:val="Подпункт договора"/>
    <w:basedOn w:val="Normal"/>
    <w:qFormat/>
    <w:rsid w:val="00d31bfd"/>
    <w:pPr>
      <w:widowControl/>
      <w:tabs>
        <w:tab w:val="clear" w:pos="708"/>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00bca"/>
    <w:pPr>
      <w:spacing w:before="0" w:after="120"/>
      <w:ind w:left="283" w:hanging="0"/>
    </w:pPr>
    <w:rPr/>
  </w:style>
  <w:style w:type="paragraph" w:styleId="Style24"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8"/>
        <w:tab w:val="center" w:pos="4677" w:leader="none"/>
        <w:tab w:val="right" w:pos="9355" w:leader="none"/>
      </w:tabs>
    </w:pPr>
    <w:rPr/>
  </w:style>
  <w:style w:type="paragraph" w:styleId="Style25" w:customStyle="1">
    <w:name w:val="Пункт договора"/>
    <w:basedOn w:val="Normal"/>
    <w:qFormat/>
    <w:rsid w:val="00e65842"/>
    <w:pPr>
      <w:jc w:val="both"/>
    </w:pPr>
    <w:rPr>
      <w:rFonts w:ascii="Arial" w:hAnsi="Arial"/>
    </w:rPr>
  </w:style>
  <w:style w:type="paragraph" w:styleId="1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2"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eastAsia="Times New Roman" w:cs="Calibri"/>
      <w:color w:val="auto"/>
      <w:kern w:val="0"/>
      <w:sz w:val="22"/>
      <w:szCs w:val="20"/>
      <w:lang w:val="ru-RU" w:eastAsia="ru-RU" w:bidi="ar-SA"/>
    </w:rPr>
  </w:style>
  <w:style w:type="paragraph" w:styleId="Style26" w:customStyle="1">
    <w:name w:val="Содержимое таблицы"/>
    <w:basedOn w:val="Normal"/>
    <w:qFormat/>
    <w:pPr>
      <w:suppressLineNumbers/>
    </w:pPr>
    <w:rPr/>
  </w:style>
  <w:style w:type="paragraph" w:styleId="Style27" w:customStyle="1">
    <w:name w:val="Заголовок таблицы"/>
    <w:basedOn w:val="Style26"/>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66144BA-1D1C-4A26-9068-E3648E05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Application>AlterOffice/3.4.0.9$Linux_X86_64 LibreOffice_project/b8daf9e823b1a5463a2f48435ddc2e8696e7d4fc</Application>
  <AppVersion>15.0000</AppVersion>
  <Pages>17</Pages>
  <Words>6547</Words>
  <Characters>46211</Characters>
  <CharactersWithSpaces>52474</CharactersWithSpaces>
  <Paragraphs>263</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2024-04-09T02:10:00Z</dcterms:created>
  <dc:creator>tsypilev_ag</dc:creator>
  <dc:description/>
  <dc:language>ru-RU</dc:language>
  <cp:lastModifiedBy>rossihinasv@corp.gidroogk.com</cp:lastModifiedBy>
  <cp:lastPrinted>2018-05-22T09:46:00Z</cp:lastPrinted>
  <dcterms:modified xsi:type="dcterms:W3CDTF">2026-05-12T13:49:55Z</dcterms:modified>
  <cp:revision>10</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